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049" w:rsidRPr="00547049" w:rsidRDefault="00547049" w:rsidP="00547049">
      <w:pPr>
        <w:contextualSpacing/>
        <w:rPr>
          <w:color w:val="002060"/>
        </w:rPr>
      </w:pPr>
      <w:r w:rsidRPr="00547049"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-775970</wp:posOffset>
            </wp:positionV>
            <wp:extent cx="1978133" cy="2066925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 OZS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7" t="5002" r="17593" b="20790"/>
                    <a:stretch/>
                  </pic:blipFill>
                  <pic:spPr bwMode="auto">
                    <a:xfrm>
                      <a:off x="0" y="0"/>
                      <a:ext cx="1978133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  <w:r w:rsidRPr="00547049">
        <w:rPr>
          <w:color w:val="002060"/>
        </w:rPr>
        <w:tab/>
      </w:r>
    </w:p>
    <w:p w:rsidR="00C517C2" w:rsidRDefault="00C517C2" w:rsidP="00547049">
      <w:pPr>
        <w:spacing w:before="60"/>
        <w:contextualSpacing/>
        <w:rPr>
          <w:rStyle w:val="jsgrdq"/>
          <w:rFonts w:cstheme="minorHAnsi"/>
          <w:color w:val="002060"/>
        </w:rPr>
      </w:pPr>
    </w:p>
    <w:p w:rsidR="00547049" w:rsidRPr="00064442" w:rsidRDefault="00547049" w:rsidP="00547049">
      <w:pPr>
        <w:spacing w:before="60"/>
        <w:contextualSpacing/>
        <w:rPr>
          <w:rStyle w:val="jsgrdq"/>
          <w:color w:val="002060"/>
          <w:sz w:val="24"/>
        </w:rPr>
      </w:pPr>
      <w:r w:rsidRPr="00064442">
        <w:rPr>
          <w:rStyle w:val="jsgrdq"/>
          <w:rFonts w:cstheme="minorHAnsi"/>
          <w:color w:val="002060"/>
          <w:sz w:val="24"/>
        </w:rPr>
        <w:t xml:space="preserve">Drogie Koleżanki, Drodzy Koledzy! </w:t>
      </w: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both"/>
        <w:rPr>
          <w:rStyle w:val="jsgrdq"/>
          <w:rFonts w:asciiTheme="minorHAnsi" w:hAnsiTheme="minorHAnsi" w:cstheme="minorHAnsi"/>
          <w:color w:val="002060"/>
        </w:rPr>
      </w:pPr>
      <w:r w:rsidRPr="00547049">
        <w:rPr>
          <w:rStyle w:val="jsgrdq"/>
          <w:rFonts w:asciiTheme="minorHAnsi" w:hAnsiTheme="minorHAnsi" w:cstheme="minorHAnsi"/>
          <w:color w:val="002060"/>
        </w:rPr>
        <w:t>J</w:t>
      </w:r>
      <w:r w:rsidRPr="00547049">
        <w:rPr>
          <w:rStyle w:val="jsgrdq"/>
          <w:rFonts w:asciiTheme="minorHAnsi" w:hAnsiTheme="minorHAnsi" w:cstheme="minorHAnsi"/>
          <w:color w:val="002060"/>
        </w:rPr>
        <w:t xml:space="preserve">uż od dwudziestu trzech lat spotykamy się w różnych miejscach Polski i dyskutujemy o tym, co nas w archiwistyce interesuje, co badamy w ramach projektów studenckich, czego szukamy w archiwach i czego oczekujemy od współczesnej dyscypliny. Coroczne zjazdy studentów prowadzących badania związane z archiwistyką i archiwaliami na stałe wpisały się w kalendarz naukowy, skupiając młodych adeptów z całego kraju. Jest to niewątpliwie piękna tradycja, którą warto kontynuować. </w:t>
      </w: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both"/>
        <w:rPr>
          <w:rFonts w:asciiTheme="minorHAnsi" w:hAnsiTheme="minorHAnsi" w:cstheme="minorHAnsi"/>
          <w:color w:val="002060"/>
        </w:rPr>
      </w:pP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both"/>
        <w:rPr>
          <w:rStyle w:val="jsgrdq"/>
          <w:rFonts w:asciiTheme="minorHAnsi" w:hAnsiTheme="minorHAnsi" w:cstheme="minorHAnsi"/>
          <w:color w:val="002060"/>
        </w:rPr>
      </w:pPr>
      <w:r w:rsidRPr="00547049">
        <w:rPr>
          <w:rStyle w:val="jsgrdq"/>
          <w:rFonts w:asciiTheme="minorHAnsi" w:hAnsiTheme="minorHAnsi" w:cstheme="minorHAnsi"/>
          <w:color w:val="002060"/>
        </w:rPr>
        <w:t xml:space="preserve">23. Ogólnopolski Zjazd Studentów Archiwistyki odbędzie się w Toruniu w dniach 1–3 czerwca 2022 r. Organizujemy go pod hasłem: </w:t>
      </w:r>
      <w:r w:rsidRPr="00C517C2">
        <w:rPr>
          <w:rStyle w:val="jsgrdq"/>
          <w:rFonts w:asciiTheme="minorHAnsi" w:hAnsiTheme="minorHAnsi" w:cstheme="minorHAnsi"/>
          <w:i/>
          <w:color w:val="002060"/>
        </w:rPr>
        <w:t>Nie tylko historia!</w:t>
      </w:r>
      <w:r w:rsidRPr="00547049">
        <w:rPr>
          <w:rStyle w:val="jsgrdq"/>
          <w:rFonts w:asciiTheme="minorHAnsi" w:hAnsiTheme="minorHAnsi" w:cstheme="minorHAnsi"/>
          <w:color w:val="002060"/>
        </w:rPr>
        <w:t xml:space="preserve"> Chcieliśmy w ten sposób podkreślić, że archiwistyka nie jest tylko nauką o przeszłości, że archiwa są także skupione na teraźniejszości i śmiało spoglądają w przyszłość. Intencją było również podkreślenie interdyscyplinarności planowanej konferencji. </w:t>
      </w: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both"/>
        <w:rPr>
          <w:rFonts w:asciiTheme="minorHAnsi" w:hAnsiTheme="minorHAnsi" w:cstheme="minorHAnsi"/>
          <w:color w:val="002060"/>
        </w:rPr>
      </w:pP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both"/>
        <w:rPr>
          <w:rStyle w:val="jsgrdq"/>
          <w:rFonts w:asciiTheme="minorHAnsi" w:hAnsiTheme="minorHAnsi" w:cstheme="minorHAnsi"/>
          <w:color w:val="002060"/>
        </w:rPr>
      </w:pPr>
      <w:r w:rsidRPr="00547049">
        <w:rPr>
          <w:rStyle w:val="jsgrdq"/>
          <w:rFonts w:asciiTheme="minorHAnsi" w:hAnsiTheme="minorHAnsi" w:cstheme="minorHAnsi"/>
          <w:color w:val="002060"/>
        </w:rPr>
        <w:t>Proponujemy szeroką, naukową dyskusję na tematy związane m.in. z: teorią i metodyką archiwalną, wszelkimi aspektami funkcjonowania i działalności archiwów historycznych oraz bieżących, zarządzania dokumentacją</w:t>
      </w:r>
      <w:r w:rsidR="00C517C2">
        <w:rPr>
          <w:rStyle w:val="jsgrdq"/>
          <w:rFonts w:asciiTheme="minorHAnsi" w:hAnsiTheme="minorHAnsi" w:cstheme="minorHAnsi"/>
          <w:color w:val="002060"/>
        </w:rPr>
        <w:t xml:space="preserve"> oraz wykorzystywania</w:t>
      </w:r>
      <w:r w:rsidRPr="00547049">
        <w:rPr>
          <w:rStyle w:val="jsgrdq"/>
          <w:rFonts w:asciiTheme="minorHAnsi" w:hAnsiTheme="minorHAnsi" w:cstheme="minorHAnsi"/>
          <w:color w:val="002060"/>
        </w:rPr>
        <w:t xml:space="preserve"> nowoczesnych technologii w biurowości i archiwistyce. Serdecznie zapraszamy także h</w:t>
      </w:r>
      <w:r w:rsidR="00C517C2">
        <w:rPr>
          <w:rStyle w:val="jsgrdq"/>
          <w:rFonts w:asciiTheme="minorHAnsi" w:hAnsiTheme="minorHAnsi" w:cstheme="minorHAnsi"/>
          <w:color w:val="002060"/>
        </w:rPr>
        <w:t>i</w:t>
      </w:r>
      <w:r w:rsidRPr="00547049">
        <w:rPr>
          <w:rStyle w:val="jsgrdq"/>
          <w:rFonts w:asciiTheme="minorHAnsi" w:hAnsiTheme="minorHAnsi" w:cstheme="minorHAnsi"/>
          <w:color w:val="002060"/>
        </w:rPr>
        <w:t>storyków, którzy przedstawią wykorzystanie archiwaliów w swoich badaniach naukowych.</w:t>
      </w: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both"/>
        <w:rPr>
          <w:rStyle w:val="jsgrdq"/>
          <w:rFonts w:asciiTheme="minorHAnsi" w:hAnsiTheme="minorHAnsi" w:cstheme="minorHAnsi"/>
          <w:color w:val="002060"/>
        </w:rPr>
      </w:pP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both"/>
        <w:rPr>
          <w:rStyle w:val="jsgrdq"/>
          <w:rFonts w:asciiTheme="minorHAnsi" w:hAnsiTheme="minorHAnsi" w:cstheme="minorHAnsi"/>
          <w:color w:val="002060"/>
        </w:rPr>
      </w:pPr>
      <w:r w:rsidRPr="00547049">
        <w:rPr>
          <w:rStyle w:val="jsgrdq"/>
          <w:rFonts w:asciiTheme="minorHAnsi" w:hAnsiTheme="minorHAnsi" w:cstheme="minorHAnsi"/>
          <w:b/>
          <w:color w:val="002060"/>
        </w:rPr>
        <w:t xml:space="preserve">Zgłoszenia referatów przyjmowane będą na skrzynkę pocztową: </w:t>
      </w:r>
      <w:hyperlink r:id="rId7" w:history="1">
        <w:r w:rsidRPr="00547049">
          <w:rPr>
            <w:rStyle w:val="Hipercze"/>
            <w:rFonts w:asciiTheme="minorHAnsi" w:hAnsiTheme="minorHAnsi" w:cstheme="minorHAnsi"/>
            <w:b/>
            <w:color w:val="002060"/>
            <w:u w:val="none"/>
          </w:rPr>
          <w:t>23ozsa@umk.pl</w:t>
        </w:r>
      </w:hyperlink>
      <w:r w:rsidRPr="00547049">
        <w:rPr>
          <w:rStyle w:val="jsgrdq"/>
          <w:rFonts w:asciiTheme="minorHAnsi" w:hAnsiTheme="minorHAnsi" w:cstheme="minorHAnsi"/>
          <w:b/>
          <w:color w:val="002060"/>
        </w:rPr>
        <w:t xml:space="preserve"> do 31 marca 2022 roku. </w:t>
      </w:r>
      <w:r w:rsidRPr="00C517C2">
        <w:rPr>
          <w:rStyle w:val="jsgrdq"/>
          <w:rFonts w:asciiTheme="minorHAnsi" w:hAnsiTheme="minorHAnsi" w:cstheme="minorHAnsi"/>
          <w:color w:val="002060"/>
        </w:rPr>
        <w:t>Zainteresowanych</w:t>
      </w:r>
      <w:r w:rsidRPr="00547049">
        <w:rPr>
          <w:rStyle w:val="jsgrdq"/>
          <w:rFonts w:asciiTheme="minorHAnsi" w:hAnsiTheme="minorHAnsi" w:cstheme="minorHAnsi"/>
          <w:color w:val="002060"/>
        </w:rPr>
        <w:t xml:space="preserve"> prosimy o przesłanie formularza zgłoszeniowego wraz z krótkim abstraktem (w formacie pdf, podając w nazwie pliku instytucję oraz nazwisko i imię referenta, np. UMK_JanKowlaski.pdf). </w:t>
      </w:r>
      <w:r w:rsidRPr="00547049">
        <w:rPr>
          <w:rStyle w:val="jsgrdq"/>
          <w:rFonts w:asciiTheme="minorHAnsi" w:hAnsiTheme="minorHAnsi" w:cstheme="minorHAnsi"/>
          <w:b/>
          <w:color w:val="002060"/>
        </w:rPr>
        <w:t>Nie przewidujemy opłaty konferencyjnej</w:t>
      </w:r>
      <w:r w:rsidRPr="00547049">
        <w:rPr>
          <w:rStyle w:val="jsgrdq"/>
          <w:rFonts w:asciiTheme="minorHAnsi" w:hAnsiTheme="minorHAnsi" w:cstheme="minorHAnsi"/>
          <w:color w:val="002060"/>
        </w:rPr>
        <w:t xml:space="preserve">. Mamy natomiast w planach atrakcyjne imprezy towarzyszące, uroczysty bankiet, zapewnienie obiadów i przerw kawowych oraz przygotowanie pakietów konferencyjnych. </w:t>
      </w:r>
      <w:r w:rsidRPr="00547049">
        <w:rPr>
          <w:rStyle w:val="jsgrdq"/>
          <w:rFonts w:asciiTheme="minorHAnsi" w:hAnsiTheme="minorHAnsi" w:cstheme="minorHAnsi"/>
          <w:color w:val="002060"/>
        </w:rPr>
        <w:t>Wszelkie informacje oraz formularze zgłoszeniowe znajdują się na naszej stronie internetowej: 23ozsa.umk.pl</w:t>
      </w:r>
      <w:r w:rsidRPr="00547049">
        <w:rPr>
          <w:rStyle w:val="jsgrdq"/>
          <w:rFonts w:asciiTheme="minorHAnsi" w:hAnsiTheme="minorHAnsi" w:cstheme="minorHAnsi"/>
          <w:color w:val="002060"/>
        </w:rPr>
        <w:t xml:space="preserve"> oraz naszym profilu na Facebooku. </w:t>
      </w: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both"/>
        <w:rPr>
          <w:rFonts w:asciiTheme="minorHAnsi" w:hAnsiTheme="minorHAnsi" w:cstheme="minorHAnsi"/>
          <w:color w:val="002060"/>
        </w:rPr>
      </w:pP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both"/>
        <w:rPr>
          <w:rFonts w:asciiTheme="minorHAnsi" w:hAnsiTheme="minorHAnsi" w:cstheme="minorHAnsi"/>
          <w:color w:val="002060"/>
        </w:rPr>
      </w:pPr>
      <w:r w:rsidRPr="00547049">
        <w:rPr>
          <w:rFonts w:asciiTheme="minorHAnsi" w:hAnsiTheme="minorHAnsi" w:cstheme="minorHAnsi"/>
          <w:color w:val="002060"/>
        </w:rPr>
        <w:t>Organizatorzy 23. Ogólnopolskieg</w:t>
      </w:r>
      <w:bookmarkStart w:id="0" w:name="_GoBack"/>
      <w:bookmarkEnd w:id="0"/>
      <w:r w:rsidRPr="00547049">
        <w:rPr>
          <w:rFonts w:asciiTheme="minorHAnsi" w:hAnsiTheme="minorHAnsi" w:cstheme="minorHAnsi"/>
          <w:color w:val="002060"/>
        </w:rPr>
        <w:t>o Zjazdu Studentów Archiwistyki</w:t>
      </w: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both"/>
        <w:rPr>
          <w:rFonts w:asciiTheme="minorHAnsi" w:hAnsiTheme="minorHAnsi" w:cstheme="minorHAnsi"/>
          <w:color w:val="002060"/>
        </w:rPr>
      </w:pP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center"/>
        <w:rPr>
          <w:rFonts w:asciiTheme="minorHAnsi" w:hAnsiTheme="minorHAnsi" w:cstheme="minorHAnsi"/>
          <w:color w:val="002060"/>
          <w:sz w:val="36"/>
        </w:rPr>
      </w:pPr>
      <w:r w:rsidRPr="00547049">
        <w:rPr>
          <w:rFonts w:asciiTheme="minorHAnsi" w:hAnsiTheme="minorHAnsi" w:cstheme="minorHAnsi"/>
          <w:color w:val="002060"/>
          <w:sz w:val="36"/>
        </w:rPr>
        <w:t>Formularz zgłoszeniowy</w:t>
      </w:r>
    </w:p>
    <w:p w:rsidR="00547049" w:rsidRPr="00547049" w:rsidRDefault="00547049" w:rsidP="00547049">
      <w:pPr>
        <w:pStyle w:val="04xlpa"/>
        <w:spacing w:before="60" w:beforeAutospacing="0" w:line="375" w:lineRule="atLeast"/>
        <w:contextualSpacing/>
        <w:jc w:val="center"/>
        <w:rPr>
          <w:rFonts w:asciiTheme="minorHAnsi" w:hAnsiTheme="minorHAnsi" w:cstheme="minorHAnsi"/>
          <w:color w:val="002060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6071"/>
      </w:tblGrid>
      <w:tr w:rsidR="00547049" w:rsidRPr="00547049" w:rsidTr="001D285B">
        <w:trPr>
          <w:trHeight w:val="619"/>
        </w:trPr>
        <w:tc>
          <w:tcPr>
            <w:tcW w:w="299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Imię i nazwisko</w:t>
            </w:r>
          </w:p>
        </w:tc>
        <w:tc>
          <w:tcPr>
            <w:tcW w:w="607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</w:p>
        </w:tc>
      </w:tr>
      <w:tr w:rsidR="00547049" w:rsidRPr="00547049" w:rsidTr="001D285B">
        <w:trPr>
          <w:trHeight w:val="299"/>
        </w:trPr>
        <w:tc>
          <w:tcPr>
            <w:tcW w:w="299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Adres e-mail i numer telefonu</w:t>
            </w:r>
          </w:p>
        </w:tc>
        <w:tc>
          <w:tcPr>
            <w:tcW w:w="607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</w:p>
        </w:tc>
      </w:tr>
      <w:tr w:rsidR="00547049" w:rsidRPr="00547049" w:rsidTr="001D285B">
        <w:trPr>
          <w:trHeight w:val="316"/>
        </w:trPr>
        <w:tc>
          <w:tcPr>
            <w:tcW w:w="299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Uczelnia/Instytucja</w:t>
            </w:r>
          </w:p>
        </w:tc>
        <w:tc>
          <w:tcPr>
            <w:tcW w:w="607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</w:p>
        </w:tc>
      </w:tr>
      <w:tr w:rsidR="00547049" w:rsidRPr="00547049" w:rsidTr="001D285B">
        <w:trPr>
          <w:trHeight w:val="299"/>
        </w:trPr>
        <w:tc>
          <w:tcPr>
            <w:tcW w:w="299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Kierunek i rok studiów</w:t>
            </w:r>
          </w:p>
        </w:tc>
        <w:tc>
          <w:tcPr>
            <w:tcW w:w="607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</w:p>
        </w:tc>
      </w:tr>
      <w:tr w:rsidR="00547049" w:rsidRPr="00547049" w:rsidTr="001D285B">
        <w:trPr>
          <w:trHeight w:val="649"/>
        </w:trPr>
        <w:tc>
          <w:tcPr>
            <w:tcW w:w="299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>Tytuł</w:t>
            </w:r>
            <w:r w:rsidRPr="00547049">
              <w:rPr>
                <w:rFonts w:cs="Times New Roman"/>
                <w:color w:val="002060"/>
              </w:rPr>
              <w:t xml:space="preserve"> wystąpienia</w:t>
            </w:r>
          </w:p>
        </w:tc>
        <w:tc>
          <w:tcPr>
            <w:tcW w:w="6071" w:type="dxa"/>
          </w:tcPr>
          <w:p w:rsidR="00547049" w:rsidRPr="00547049" w:rsidRDefault="00547049" w:rsidP="001D285B">
            <w:pPr>
              <w:spacing w:line="360" w:lineRule="auto"/>
              <w:jc w:val="both"/>
              <w:outlineLvl w:val="1"/>
              <w:rPr>
                <w:rFonts w:cs="Times New Roman"/>
                <w:color w:val="002060"/>
              </w:rPr>
            </w:pPr>
          </w:p>
        </w:tc>
      </w:tr>
      <w:tr w:rsidR="00547049" w:rsidRPr="00547049" w:rsidTr="001D285B">
        <w:trPr>
          <w:trHeight w:val="478"/>
        </w:trPr>
        <w:tc>
          <w:tcPr>
            <w:tcW w:w="299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 xml:space="preserve">Panel </w:t>
            </w:r>
            <w:r w:rsidRPr="00547049">
              <w:rPr>
                <w:rStyle w:val="Odwoanieprzypisudolnego"/>
                <w:rFonts w:cs="Times New Roman"/>
                <w:color w:val="002060"/>
              </w:rPr>
              <w:footnoteReference w:id="1"/>
            </w:r>
          </w:p>
        </w:tc>
        <w:tc>
          <w:tcPr>
            <w:tcW w:w="6071" w:type="dxa"/>
          </w:tcPr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  <w:proofErr w:type="spellStart"/>
            <w:r w:rsidRPr="00547049">
              <w:rPr>
                <w:rFonts w:cs="Times New Roman"/>
                <w:color w:val="002060"/>
              </w:rPr>
              <w:t>Aktoznawstwo</w:t>
            </w:r>
            <w:proofErr w:type="spellEnd"/>
          </w:p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Archiwa cyfrowe i digitalizacja</w:t>
            </w:r>
          </w:p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Archiwa kościelne</w:t>
            </w:r>
          </w:p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Archiwalia w badaniach naukowych</w:t>
            </w:r>
          </w:p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Edukacja i popularyzacja</w:t>
            </w:r>
          </w:p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i/>
                <w:color w:val="002060"/>
              </w:rPr>
              <w:t>Outsourcing</w:t>
            </w:r>
            <w:r w:rsidRPr="00547049">
              <w:rPr>
                <w:rFonts w:cs="Times New Roman"/>
                <w:color w:val="002060"/>
              </w:rPr>
              <w:t xml:space="preserve"> archiwalny</w:t>
            </w:r>
          </w:p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Profilaktyka i konserwacją</w:t>
            </w:r>
          </w:p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Teoria i metodyka archiwalna</w:t>
            </w:r>
          </w:p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Zarządzanie dokumentacją</w:t>
            </w:r>
          </w:p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Inny</w:t>
            </w:r>
            <w:r>
              <w:rPr>
                <w:rFonts w:cs="Times New Roman"/>
                <w:color w:val="002060"/>
              </w:rPr>
              <w:t>:</w:t>
            </w:r>
          </w:p>
        </w:tc>
      </w:tr>
      <w:tr w:rsidR="00547049" w:rsidRPr="00547049" w:rsidTr="001D285B">
        <w:trPr>
          <w:trHeight w:val="478"/>
        </w:trPr>
        <w:tc>
          <w:tcPr>
            <w:tcW w:w="2991" w:type="dxa"/>
          </w:tcPr>
          <w:p w:rsidR="00547049" w:rsidRPr="00547049" w:rsidRDefault="00547049" w:rsidP="001D285B">
            <w:pPr>
              <w:spacing w:after="0" w:line="240" w:lineRule="auto"/>
              <w:rPr>
                <w:rFonts w:cs="Times New Roman"/>
                <w:color w:val="002060"/>
              </w:rPr>
            </w:pPr>
            <w:r w:rsidRPr="00547049">
              <w:rPr>
                <w:rFonts w:cs="Times New Roman"/>
                <w:color w:val="002060"/>
              </w:rPr>
              <w:t>Abstrakt (</w:t>
            </w:r>
            <w:r w:rsidRPr="00547049">
              <w:rPr>
                <w:rFonts w:cs="Times New Roman"/>
                <w:color w:val="002060"/>
              </w:rPr>
              <w:t>500-600</w:t>
            </w:r>
            <w:r w:rsidRPr="00547049">
              <w:rPr>
                <w:rFonts w:cs="Times New Roman"/>
                <w:color w:val="002060"/>
              </w:rPr>
              <w:t xml:space="preserve"> </w:t>
            </w:r>
            <w:r w:rsidRPr="00547049">
              <w:rPr>
                <w:rFonts w:cs="Times New Roman"/>
                <w:color w:val="002060"/>
              </w:rPr>
              <w:t>znaków</w:t>
            </w:r>
            <w:r w:rsidRPr="00547049">
              <w:rPr>
                <w:rFonts w:cs="Times New Roman"/>
                <w:color w:val="002060"/>
              </w:rPr>
              <w:t>)</w:t>
            </w:r>
          </w:p>
        </w:tc>
        <w:tc>
          <w:tcPr>
            <w:tcW w:w="6071" w:type="dxa"/>
          </w:tcPr>
          <w:p w:rsidR="00547049" w:rsidRPr="00547049" w:rsidRDefault="00547049" w:rsidP="001D285B">
            <w:pPr>
              <w:rPr>
                <w:rFonts w:cs="Times New Roman"/>
                <w:color w:val="002060"/>
              </w:rPr>
            </w:pPr>
          </w:p>
        </w:tc>
      </w:tr>
    </w:tbl>
    <w:p w:rsidR="00547049" w:rsidRPr="00547049" w:rsidRDefault="00547049" w:rsidP="00547049">
      <w:pPr>
        <w:pStyle w:val="04xlpa"/>
        <w:spacing w:line="375" w:lineRule="atLeast"/>
        <w:contextualSpacing/>
        <w:jc w:val="both"/>
        <w:rPr>
          <w:color w:val="002060"/>
        </w:rPr>
      </w:pPr>
    </w:p>
    <w:p w:rsidR="00547049" w:rsidRPr="00547049" w:rsidRDefault="00547049" w:rsidP="00547049">
      <w:pPr>
        <w:pStyle w:val="04xlpa"/>
        <w:spacing w:line="375" w:lineRule="atLeast"/>
        <w:contextualSpacing/>
        <w:jc w:val="both"/>
        <w:rPr>
          <w:color w:val="002060"/>
        </w:rPr>
      </w:pPr>
    </w:p>
    <w:p w:rsidR="00547049" w:rsidRPr="00547049" w:rsidRDefault="00547049" w:rsidP="00547049">
      <w:pPr>
        <w:pStyle w:val="04xlpa"/>
        <w:spacing w:line="375" w:lineRule="atLeast"/>
        <w:contextualSpacing/>
        <w:jc w:val="both"/>
        <w:rPr>
          <w:color w:val="002060"/>
        </w:rPr>
      </w:pPr>
    </w:p>
    <w:p w:rsidR="00547049" w:rsidRPr="00547049" w:rsidRDefault="00547049">
      <w:pPr>
        <w:contextualSpacing/>
        <w:rPr>
          <w:color w:val="002060"/>
        </w:rPr>
      </w:pPr>
    </w:p>
    <w:sectPr w:rsidR="00547049" w:rsidRPr="0054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FC" w:rsidRDefault="006A24FC" w:rsidP="00547049">
      <w:pPr>
        <w:spacing w:after="0" w:line="240" w:lineRule="auto"/>
      </w:pPr>
      <w:r>
        <w:separator/>
      </w:r>
    </w:p>
  </w:endnote>
  <w:endnote w:type="continuationSeparator" w:id="0">
    <w:p w:rsidR="006A24FC" w:rsidRDefault="006A24FC" w:rsidP="0054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FC" w:rsidRDefault="006A24FC" w:rsidP="00547049">
      <w:pPr>
        <w:spacing w:after="0" w:line="240" w:lineRule="auto"/>
      </w:pPr>
      <w:r>
        <w:separator/>
      </w:r>
    </w:p>
  </w:footnote>
  <w:footnote w:type="continuationSeparator" w:id="0">
    <w:p w:rsidR="006A24FC" w:rsidRDefault="006A24FC" w:rsidP="00547049">
      <w:pPr>
        <w:spacing w:after="0" w:line="240" w:lineRule="auto"/>
      </w:pPr>
      <w:r>
        <w:continuationSeparator/>
      </w:r>
    </w:p>
  </w:footnote>
  <w:footnote w:id="1">
    <w:p w:rsidR="00547049" w:rsidRDefault="00547049" w:rsidP="00547049">
      <w:pPr>
        <w:pStyle w:val="Tekstprzypisudolnego"/>
      </w:pPr>
      <w:r w:rsidRPr="00547049">
        <w:rPr>
          <w:rStyle w:val="Odwoanieprzypisudolnego"/>
          <w:rFonts w:ascii="Times New Roman" w:hAnsi="Times New Roman" w:cs="Times New Roman"/>
          <w:color w:val="002060"/>
        </w:rPr>
        <w:footnoteRef/>
      </w:r>
      <w:r w:rsidRPr="00547049">
        <w:rPr>
          <w:rFonts w:ascii="Times New Roman" w:hAnsi="Times New Roman" w:cs="Times New Roman"/>
          <w:color w:val="002060"/>
        </w:rPr>
        <w:t xml:space="preserve"> Wybrane podkreślić.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49"/>
    <w:rsid w:val="00064442"/>
    <w:rsid w:val="0041654A"/>
    <w:rsid w:val="00547049"/>
    <w:rsid w:val="006A24FC"/>
    <w:rsid w:val="00C5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037D"/>
  <w15:chartTrackingRefBased/>
  <w15:docId w15:val="{A17A61A7-7C10-486D-8205-EF8358FD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54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547049"/>
  </w:style>
  <w:style w:type="character" w:styleId="Hipercze">
    <w:name w:val="Hyperlink"/>
    <w:basedOn w:val="Domylnaczcionkaakapitu"/>
    <w:uiPriority w:val="99"/>
    <w:unhideWhenUsed/>
    <w:rsid w:val="005470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04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0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0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3ozsa@um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2022-03-08T18:51:00Z</dcterms:created>
  <dcterms:modified xsi:type="dcterms:W3CDTF">2022-03-08T19:49:00Z</dcterms:modified>
</cp:coreProperties>
</file>